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EB" w:rsidRDefault="002B7BEB">
      <w:pPr>
        <w:spacing w:after="21" w:line="265" w:lineRule="auto"/>
        <w:ind w:left="2676" w:right="460" w:hanging="10"/>
        <w:rPr>
          <w:sz w:val="21"/>
        </w:rPr>
      </w:pPr>
      <w:bookmarkStart w:id="0" w:name="_GoBack"/>
      <w:bookmarkEnd w:id="0"/>
    </w:p>
    <w:tbl>
      <w:tblPr>
        <w:tblStyle w:val="TableGrid"/>
        <w:tblpPr w:vertAnchor="text" w:horzAnchor="margin" w:tblpXSpec="right" w:tblpY="94"/>
        <w:tblOverlap w:val="never"/>
        <w:tblW w:w="8451" w:type="dxa"/>
        <w:tblInd w:w="0" w:type="dxa"/>
        <w:tblCellMar>
          <w:left w:w="115" w:type="dxa"/>
          <w:right w:w="115" w:type="dxa"/>
        </w:tblCellMar>
        <w:tblLook w:val="04A0" w:firstRow="1" w:lastRow="0" w:firstColumn="1" w:lastColumn="0" w:noHBand="0" w:noVBand="1"/>
      </w:tblPr>
      <w:tblGrid>
        <w:gridCol w:w="2880"/>
        <w:gridCol w:w="5571"/>
      </w:tblGrid>
      <w:tr w:rsidR="002B7BEB" w:rsidTr="002B7BEB">
        <w:trPr>
          <w:trHeight w:val="302"/>
        </w:trPr>
        <w:tc>
          <w:tcPr>
            <w:tcW w:w="2880" w:type="dxa"/>
            <w:tcBorders>
              <w:right w:val="single" w:sz="4" w:space="0" w:color="auto"/>
            </w:tcBorders>
          </w:tcPr>
          <w:p w:rsidR="002B7BEB" w:rsidRDefault="002B7BEB" w:rsidP="002B7BEB">
            <w:pPr>
              <w:spacing w:after="160" w:line="259" w:lineRule="auto"/>
              <w:ind w:left="0" w:right="0" w:firstLine="0"/>
            </w:pPr>
            <w:r>
              <w:t>Date:</w:t>
            </w:r>
          </w:p>
        </w:tc>
        <w:tc>
          <w:tcPr>
            <w:tcW w:w="5571" w:type="dxa"/>
            <w:tcBorders>
              <w:top w:val="single" w:sz="4" w:space="0" w:color="000000"/>
              <w:left w:val="single" w:sz="4" w:space="0" w:color="auto"/>
              <w:bottom w:val="single" w:sz="4" w:space="0" w:color="000000"/>
              <w:right w:val="single" w:sz="4" w:space="0" w:color="000000"/>
            </w:tcBorders>
          </w:tcPr>
          <w:p w:rsidR="002B7BEB" w:rsidRDefault="002B7BEB" w:rsidP="002B7BEB">
            <w:pPr>
              <w:spacing w:after="160" w:line="259" w:lineRule="auto"/>
              <w:ind w:left="0" w:right="0" w:firstLine="0"/>
            </w:pPr>
          </w:p>
        </w:tc>
      </w:tr>
      <w:tr w:rsidR="002B7BEB" w:rsidTr="002B7BEB">
        <w:trPr>
          <w:trHeight w:val="304"/>
        </w:trPr>
        <w:tc>
          <w:tcPr>
            <w:tcW w:w="2880" w:type="dxa"/>
            <w:tcBorders>
              <w:right w:val="single" w:sz="4" w:space="0" w:color="auto"/>
            </w:tcBorders>
          </w:tcPr>
          <w:p w:rsidR="002B7BEB" w:rsidRDefault="002B7BEB" w:rsidP="002B7BEB">
            <w:pPr>
              <w:spacing w:after="160" w:line="259" w:lineRule="auto"/>
              <w:ind w:left="0" w:right="0" w:firstLine="0"/>
            </w:pPr>
            <w:r>
              <w:t>Service Account Name:</w:t>
            </w:r>
          </w:p>
        </w:tc>
        <w:tc>
          <w:tcPr>
            <w:tcW w:w="5571" w:type="dxa"/>
            <w:tcBorders>
              <w:top w:val="single" w:sz="4" w:space="0" w:color="000000"/>
              <w:left w:val="single" w:sz="4" w:space="0" w:color="auto"/>
              <w:bottom w:val="single" w:sz="4" w:space="0" w:color="000000"/>
              <w:right w:val="single" w:sz="4" w:space="0" w:color="000000"/>
            </w:tcBorders>
          </w:tcPr>
          <w:p w:rsidR="002B7BEB" w:rsidRDefault="002B7BEB" w:rsidP="002B7BEB">
            <w:pPr>
              <w:spacing w:after="160" w:line="259" w:lineRule="auto"/>
              <w:ind w:left="0" w:right="0" w:firstLine="0"/>
            </w:pPr>
          </w:p>
        </w:tc>
      </w:tr>
      <w:tr w:rsidR="002B7BEB" w:rsidTr="002B7BEB">
        <w:trPr>
          <w:trHeight w:val="302"/>
        </w:trPr>
        <w:tc>
          <w:tcPr>
            <w:tcW w:w="2880" w:type="dxa"/>
            <w:tcBorders>
              <w:right w:val="single" w:sz="4" w:space="0" w:color="auto"/>
            </w:tcBorders>
          </w:tcPr>
          <w:p w:rsidR="002B7BEB" w:rsidRDefault="002B7BEB" w:rsidP="002B7BEB">
            <w:pPr>
              <w:spacing w:after="160" w:line="259" w:lineRule="auto"/>
              <w:ind w:left="0" w:right="0" w:firstLine="0"/>
            </w:pPr>
            <w:r>
              <w:t>Department:</w:t>
            </w:r>
          </w:p>
        </w:tc>
        <w:tc>
          <w:tcPr>
            <w:tcW w:w="5571" w:type="dxa"/>
            <w:tcBorders>
              <w:top w:val="single" w:sz="4" w:space="0" w:color="000000"/>
              <w:left w:val="single" w:sz="4" w:space="0" w:color="auto"/>
              <w:bottom w:val="single" w:sz="4" w:space="0" w:color="000000"/>
              <w:right w:val="single" w:sz="4" w:space="0" w:color="000000"/>
            </w:tcBorders>
          </w:tcPr>
          <w:p w:rsidR="002B7BEB" w:rsidRDefault="002B7BEB" w:rsidP="002B7BEB">
            <w:pPr>
              <w:spacing w:after="160" w:line="259" w:lineRule="auto"/>
              <w:ind w:left="0" w:right="0" w:firstLine="0"/>
            </w:pPr>
          </w:p>
        </w:tc>
      </w:tr>
      <w:tr w:rsidR="002B7BEB" w:rsidTr="002B7BEB">
        <w:trPr>
          <w:trHeight w:val="304"/>
        </w:trPr>
        <w:tc>
          <w:tcPr>
            <w:tcW w:w="2880" w:type="dxa"/>
            <w:tcBorders>
              <w:right w:val="single" w:sz="4" w:space="0" w:color="auto"/>
            </w:tcBorders>
          </w:tcPr>
          <w:p w:rsidR="002B7BEB" w:rsidRDefault="002B7BEB" w:rsidP="002B7BEB">
            <w:pPr>
              <w:spacing w:after="160" w:line="259" w:lineRule="auto"/>
              <w:ind w:left="0" w:right="0" w:firstLine="0"/>
            </w:pPr>
            <w:r>
              <w:t>Manager’s Name:</w:t>
            </w:r>
          </w:p>
        </w:tc>
        <w:tc>
          <w:tcPr>
            <w:tcW w:w="5571" w:type="dxa"/>
            <w:tcBorders>
              <w:top w:val="single" w:sz="4" w:space="0" w:color="000000"/>
              <w:left w:val="single" w:sz="4" w:space="0" w:color="auto"/>
              <w:bottom w:val="single" w:sz="4" w:space="0" w:color="000000"/>
              <w:right w:val="single" w:sz="4" w:space="0" w:color="000000"/>
            </w:tcBorders>
          </w:tcPr>
          <w:p w:rsidR="002B7BEB" w:rsidRDefault="002B7BEB" w:rsidP="002B7BEB">
            <w:pPr>
              <w:spacing w:after="160" w:line="259" w:lineRule="auto"/>
              <w:ind w:left="0" w:right="0" w:firstLine="0"/>
            </w:pPr>
          </w:p>
        </w:tc>
      </w:tr>
      <w:tr w:rsidR="002B7BEB" w:rsidTr="002B7BEB">
        <w:trPr>
          <w:trHeight w:val="304"/>
        </w:trPr>
        <w:tc>
          <w:tcPr>
            <w:tcW w:w="2880" w:type="dxa"/>
            <w:tcBorders>
              <w:right w:val="single" w:sz="4" w:space="0" w:color="auto"/>
            </w:tcBorders>
          </w:tcPr>
          <w:p w:rsidR="002B7BEB" w:rsidRDefault="002B7BEB" w:rsidP="002B7BEB">
            <w:pPr>
              <w:spacing w:after="160" w:line="259" w:lineRule="auto"/>
              <w:ind w:left="0" w:right="0" w:firstLine="0"/>
            </w:pPr>
            <w:r>
              <w:t>Application Name:</w:t>
            </w:r>
          </w:p>
        </w:tc>
        <w:tc>
          <w:tcPr>
            <w:tcW w:w="5571" w:type="dxa"/>
            <w:tcBorders>
              <w:top w:val="single" w:sz="4" w:space="0" w:color="000000"/>
              <w:left w:val="single" w:sz="4" w:space="0" w:color="auto"/>
              <w:bottom w:val="single" w:sz="4" w:space="0" w:color="000000"/>
              <w:right w:val="single" w:sz="4" w:space="0" w:color="000000"/>
            </w:tcBorders>
          </w:tcPr>
          <w:p w:rsidR="002B7BEB" w:rsidRDefault="002B7BEB" w:rsidP="002B7BEB">
            <w:pPr>
              <w:spacing w:after="160" w:line="259" w:lineRule="auto"/>
              <w:ind w:left="0" w:right="0" w:firstLine="0"/>
            </w:pPr>
          </w:p>
        </w:tc>
      </w:tr>
    </w:tbl>
    <w:p w:rsidR="00E351A2" w:rsidRDefault="00E351A2" w:rsidP="00E351A2">
      <w:pPr>
        <w:ind w:left="259" w:right="6" w:firstLine="0"/>
      </w:pPr>
    </w:p>
    <w:p w:rsidR="00E351A2" w:rsidRDefault="00E351A2" w:rsidP="00E351A2">
      <w:pPr>
        <w:ind w:left="259" w:right="6" w:firstLine="0"/>
      </w:pPr>
    </w:p>
    <w:p w:rsidR="00E351A2" w:rsidRDefault="00E351A2" w:rsidP="00E351A2">
      <w:pPr>
        <w:ind w:right="6"/>
      </w:pPr>
    </w:p>
    <w:p w:rsidR="002B7BEB" w:rsidRDefault="002B7BEB" w:rsidP="00350907">
      <w:pPr>
        <w:pStyle w:val="xmsonormal"/>
        <w:rPr>
          <w:rFonts w:ascii="Calibri" w:hAnsi="Calibri" w:cs="Calibri"/>
          <w:color w:val="1F497D"/>
          <w:sz w:val="22"/>
          <w:szCs w:val="22"/>
        </w:rPr>
      </w:pPr>
    </w:p>
    <w:p w:rsidR="002B7BEB" w:rsidRDefault="002B7BEB" w:rsidP="00350907">
      <w:pPr>
        <w:pStyle w:val="xmsonormal"/>
        <w:rPr>
          <w:rFonts w:ascii="Calibri" w:hAnsi="Calibri" w:cs="Calibri"/>
          <w:color w:val="1F497D"/>
          <w:sz w:val="22"/>
          <w:szCs w:val="22"/>
        </w:rPr>
      </w:pPr>
    </w:p>
    <w:p w:rsidR="002B7BEB" w:rsidRDefault="002B7BEB" w:rsidP="00350907">
      <w:pPr>
        <w:pStyle w:val="xmsonormal"/>
        <w:rPr>
          <w:rFonts w:ascii="Calibri" w:hAnsi="Calibri" w:cs="Calibri"/>
          <w:color w:val="1F497D"/>
          <w:sz w:val="22"/>
          <w:szCs w:val="22"/>
        </w:rPr>
      </w:pPr>
    </w:p>
    <w:p w:rsidR="002B7BEB" w:rsidRDefault="002B7BEB" w:rsidP="00350907">
      <w:pPr>
        <w:pStyle w:val="xmsonormal"/>
        <w:rPr>
          <w:rFonts w:ascii="Calibri" w:hAnsi="Calibri" w:cs="Calibri"/>
          <w:color w:val="1F497D"/>
          <w:sz w:val="22"/>
          <w:szCs w:val="22"/>
        </w:rPr>
      </w:pPr>
    </w:p>
    <w:p w:rsidR="002B7BEB" w:rsidRDefault="002B7BEB" w:rsidP="00350907">
      <w:pPr>
        <w:pStyle w:val="xmsonormal"/>
        <w:rPr>
          <w:rFonts w:ascii="Calibri" w:hAnsi="Calibri" w:cs="Calibri"/>
          <w:color w:val="1F497D"/>
          <w:sz w:val="22"/>
          <w:szCs w:val="22"/>
        </w:rPr>
      </w:pPr>
    </w:p>
    <w:p w:rsidR="002B7BEB" w:rsidRDefault="002B7BEB" w:rsidP="00350907">
      <w:pPr>
        <w:pStyle w:val="xmsonormal"/>
        <w:rPr>
          <w:rFonts w:ascii="Calibri" w:hAnsi="Calibri" w:cs="Calibri"/>
          <w:color w:val="1F497D"/>
          <w:sz w:val="22"/>
          <w:szCs w:val="22"/>
        </w:rPr>
      </w:pPr>
    </w:p>
    <w:p w:rsidR="002B7BEB" w:rsidRDefault="002B7BEB" w:rsidP="00350907">
      <w:pPr>
        <w:pStyle w:val="xmsonormal"/>
        <w:rPr>
          <w:rFonts w:ascii="Calibri" w:hAnsi="Calibri" w:cs="Calibri"/>
          <w:color w:val="1F497D"/>
          <w:sz w:val="22"/>
          <w:szCs w:val="22"/>
        </w:rPr>
      </w:pPr>
    </w:p>
    <w:p w:rsidR="0052309B" w:rsidRDefault="0052309B" w:rsidP="00350907">
      <w:pPr>
        <w:pStyle w:val="xmsonormal"/>
        <w:rPr>
          <w:rFonts w:ascii="Calibri" w:eastAsia="Calibri" w:hAnsi="Calibri" w:cs="Calibri"/>
          <w:color w:val="000000"/>
          <w:szCs w:val="22"/>
        </w:rPr>
      </w:pPr>
    </w:p>
    <w:p w:rsidR="0052309B" w:rsidRDefault="0052309B" w:rsidP="00350907">
      <w:pPr>
        <w:pStyle w:val="xmsonormal"/>
        <w:rPr>
          <w:rFonts w:ascii="Calibri" w:eastAsia="Calibri" w:hAnsi="Calibri" w:cs="Calibri"/>
          <w:color w:val="000000"/>
          <w:szCs w:val="22"/>
        </w:rPr>
      </w:pPr>
    </w:p>
    <w:p w:rsidR="00350907" w:rsidRPr="0052309B" w:rsidRDefault="00350907" w:rsidP="00350907">
      <w:pPr>
        <w:pStyle w:val="xmsonormal"/>
        <w:rPr>
          <w:rFonts w:ascii="Calibri" w:eastAsia="Calibri" w:hAnsi="Calibri" w:cs="Calibri"/>
          <w:color w:val="000000"/>
          <w:szCs w:val="22"/>
        </w:rPr>
      </w:pPr>
      <w:r w:rsidRPr="0052309B">
        <w:rPr>
          <w:rFonts w:ascii="Calibri" w:eastAsia="Calibri" w:hAnsi="Calibri" w:cs="Calibri"/>
          <w:color w:val="000000"/>
          <w:szCs w:val="22"/>
        </w:rPr>
        <w:t xml:space="preserve">A data warehouse service account </w:t>
      </w:r>
      <w:r w:rsidR="00D12AD2" w:rsidRPr="0052309B">
        <w:rPr>
          <w:rFonts w:ascii="Calibri" w:eastAsia="Calibri" w:hAnsi="Calibri" w:cs="Calibri"/>
          <w:color w:val="000000"/>
          <w:szCs w:val="22"/>
        </w:rPr>
        <w:t xml:space="preserve">is an account used by a department to support operations of an application or reporting. It </w:t>
      </w:r>
      <w:r w:rsidRPr="0052309B">
        <w:rPr>
          <w:rFonts w:ascii="Calibri" w:eastAsia="Calibri" w:hAnsi="Calibri" w:cs="Calibri"/>
          <w:color w:val="000000"/>
          <w:szCs w:val="22"/>
        </w:rPr>
        <w:t xml:space="preserve">should be used where there are multiple developers and using a single developer’s account would be inappropriate such as in a configuration file for an applications or reporting tool. Service accounts are owned by the department or development team and will not be deleted when developers leave Duke, unlike personal development accounts. Access to Service Accounts should be tightly controlled and limited to only those who need access to maintain or administer their application. When a service account is used, it is up to the application and development team to manage security controls and access rights to the data once it is extracted from the data warehouse. </w:t>
      </w:r>
    </w:p>
    <w:p w:rsidR="00350907" w:rsidRPr="0052309B" w:rsidRDefault="00350907" w:rsidP="00350907">
      <w:pPr>
        <w:pStyle w:val="xmsonormal"/>
        <w:rPr>
          <w:rFonts w:ascii="Calibri" w:eastAsia="Calibri" w:hAnsi="Calibri" w:cs="Calibri"/>
          <w:color w:val="000000"/>
          <w:szCs w:val="22"/>
        </w:rPr>
      </w:pPr>
      <w:r w:rsidRPr="0052309B">
        <w:rPr>
          <w:rFonts w:ascii="Calibri" w:eastAsia="Calibri" w:hAnsi="Calibri" w:cs="Calibri"/>
          <w:color w:val="000000"/>
          <w:szCs w:val="22"/>
        </w:rPr>
        <w:t> </w:t>
      </w:r>
    </w:p>
    <w:p w:rsidR="00350907" w:rsidRPr="0052309B" w:rsidRDefault="00350907" w:rsidP="00350907">
      <w:pPr>
        <w:pStyle w:val="xmsonormal"/>
        <w:rPr>
          <w:rFonts w:ascii="Calibri" w:eastAsia="Calibri" w:hAnsi="Calibri" w:cs="Calibri"/>
          <w:color w:val="000000"/>
          <w:szCs w:val="22"/>
        </w:rPr>
      </w:pPr>
      <w:r w:rsidRPr="0052309B">
        <w:rPr>
          <w:rFonts w:ascii="Calibri" w:eastAsia="Calibri" w:hAnsi="Calibri" w:cs="Calibri"/>
          <w:color w:val="000000"/>
          <w:szCs w:val="22"/>
        </w:rPr>
        <w:t>Requirements to maintain a Service Account</w:t>
      </w:r>
    </w:p>
    <w:p w:rsidR="00350907" w:rsidRPr="0052309B" w:rsidRDefault="00350907" w:rsidP="00350907">
      <w:pPr>
        <w:numPr>
          <w:ilvl w:val="0"/>
          <w:numId w:val="1"/>
        </w:numPr>
        <w:spacing w:after="0" w:line="240" w:lineRule="auto"/>
        <w:ind w:right="0"/>
      </w:pPr>
      <w:r w:rsidRPr="0052309B">
        <w:t>Anyone with access to use the service account must</w:t>
      </w:r>
      <w:r w:rsidR="00D12AD2" w:rsidRPr="0052309B">
        <w:t xml:space="preserve"> have their own account, pass the Data Prospector training,</w:t>
      </w:r>
      <w:r w:rsidRPr="0052309B">
        <w:t xml:space="preserve"> and complete a Data Use Agreement and Use Case document. Users will need to maintain their individual access to be eligible to access service accounts.</w:t>
      </w:r>
    </w:p>
    <w:p w:rsidR="00350907" w:rsidRPr="0052309B" w:rsidRDefault="00350907" w:rsidP="00350907">
      <w:pPr>
        <w:numPr>
          <w:ilvl w:val="0"/>
          <w:numId w:val="1"/>
        </w:numPr>
        <w:spacing w:after="0" w:line="240" w:lineRule="auto"/>
        <w:ind w:right="0"/>
      </w:pPr>
      <w:r w:rsidRPr="0052309B">
        <w:t>Use Case document must be completed by the mana</w:t>
      </w:r>
      <w:r w:rsidR="00D12AD2" w:rsidRPr="0052309B">
        <w:t>ger for the service account too</w:t>
      </w:r>
    </w:p>
    <w:p w:rsidR="00350907" w:rsidRPr="0052309B" w:rsidRDefault="00350907" w:rsidP="00350907">
      <w:pPr>
        <w:numPr>
          <w:ilvl w:val="0"/>
          <w:numId w:val="1"/>
        </w:numPr>
        <w:spacing w:after="0" w:line="240" w:lineRule="auto"/>
        <w:ind w:right="0"/>
      </w:pPr>
      <w:r w:rsidRPr="0052309B">
        <w:t>A list of approved users for the service account will be provided</w:t>
      </w:r>
      <w:r w:rsidR="00D12AD2" w:rsidRPr="0052309B">
        <w:t xml:space="preserve"> by the manager</w:t>
      </w:r>
    </w:p>
    <w:p w:rsidR="00350907" w:rsidRPr="0052309B" w:rsidRDefault="00350907" w:rsidP="00350907">
      <w:pPr>
        <w:numPr>
          <w:ilvl w:val="0"/>
          <w:numId w:val="1"/>
        </w:numPr>
        <w:spacing w:after="0" w:line="240" w:lineRule="auto"/>
        <w:ind w:right="0"/>
      </w:pPr>
      <w:r w:rsidRPr="0052309B">
        <w:t>Direct access to the service account will be provided by the department manager to DHTS for</w:t>
      </w:r>
      <w:r w:rsidR="00D12AD2" w:rsidRPr="0052309B">
        <w:t xml:space="preserve"> physical review every 6 months</w:t>
      </w:r>
    </w:p>
    <w:p w:rsidR="00350907" w:rsidRPr="0052309B" w:rsidRDefault="00350907" w:rsidP="00350907">
      <w:pPr>
        <w:numPr>
          <w:ilvl w:val="0"/>
          <w:numId w:val="1"/>
        </w:numPr>
        <w:spacing w:after="0" w:line="240" w:lineRule="auto"/>
        <w:ind w:right="0"/>
      </w:pPr>
      <w:r w:rsidRPr="0052309B">
        <w:t>Service accounts must be active and used at least once every 3 months to be maintained as active</w:t>
      </w:r>
    </w:p>
    <w:p w:rsidR="0025035F" w:rsidRPr="0052309B" w:rsidRDefault="0025035F" w:rsidP="0025035F">
      <w:pPr>
        <w:ind w:left="259" w:right="6" w:firstLine="0"/>
      </w:pPr>
    </w:p>
    <w:p w:rsidR="00422C1D" w:rsidRPr="0052309B" w:rsidRDefault="00E84CD4">
      <w:pPr>
        <w:spacing w:after="30"/>
        <w:ind w:left="259" w:right="6" w:firstLine="0"/>
      </w:pPr>
      <w:r w:rsidRPr="0052309B">
        <w:t xml:space="preserve">I agree to comply with the provisions above. </w:t>
      </w:r>
    </w:p>
    <w:p w:rsidR="002B7BEB" w:rsidRDefault="002B7BEB">
      <w:pPr>
        <w:spacing w:after="30"/>
        <w:ind w:left="259" w:right="6" w:firstLine="0"/>
      </w:pPr>
    </w:p>
    <w:p w:rsidR="0052309B" w:rsidRDefault="0052309B">
      <w:pPr>
        <w:spacing w:after="30"/>
        <w:ind w:left="259" w:right="6" w:firstLine="0"/>
      </w:pPr>
    </w:p>
    <w:p w:rsidR="00422C1D" w:rsidRDefault="005513CA" w:rsidP="0052309B">
      <w:pPr>
        <w:spacing w:after="40"/>
        <w:ind w:left="720" w:right="6" w:firstLine="720"/>
      </w:pPr>
      <w:r>
        <w:t xml:space="preserve">  </w:t>
      </w:r>
      <w:r w:rsidR="00D12AD2">
        <w:t>Manager</w:t>
      </w:r>
      <w:r>
        <w:t xml:space="preserve"> </w:t>
      </w:r>
      <w:r w:rsidR="00E84CD4">
        <w:t>Printed Name:</w:t>
      </w:r>
      <w:r w:rsidR="001D3306">
        <w:t xml:space="preserve"> </w:t>
      </w:r>
      <w:r w:rsidR="00E84CD4">
        <w:t xml:space="preserve">___________________________ </w:t>
      </w:r>
    </w:p>
    <w:p w:rsidR="0052309B" w:rsidRDefault="0052309B" w:rsidP="0052309B">
      <w:pPr>
        <w:spacing w:after="0" w:line="265" w:lineRule="auto"/>
        <w:ind w:left="2762" w:right="11" w:firstLine="118"/>
      </w:pPr>
    </w:p>
    <w:p w:rsidR="0052309B" w:rsidRDefault="0052309B" w:rsidP="0052309B">
      <w:pPr>
        <w:spacing w:after="0" w:line="265" w:lineRule="auto"/>
        <w:ind w:left="2762" w:right="11" w:firstLine="118"/>
      </w:pPr>
    </w:p>
    <w:p w:rsidR="00422C1D" w:rsidRDefault="00E84CD4" w:rsidP="0052309B">
      <w:pPr>
        <w:spacing w:after="40" w:line="265" w:lineRule="auto"/>
        <w:ind w:left="2762" w:right="11" w:firstLine="118"/>
      </w:pPr>
      <w:r>
        <w:t xml:space="preserve">Signature: ______________________________ </w:t>
      </w:r>
    </w:p>
    <w:sectPr w:rsidR="00422C1D">
      <w:headerReference w:type="even" r:id="rId7"/>
      <w:headerReference w:type="default" r:id="rId8"/>
      <w:footerReference w:type="even" r:id="rId9"/>
      <w:footerReference w:type="default" r:id="rId10"/>
      <w:headerReference w:type="first" r:id="rId11"/>
      <w:footerReference w:type="first" r:id="rId12"/>
      <w:pgSz w:w="12240" w:h="15840"/>
      <w:pgMar w:top="1073" w:right="1439" w:bottom="720" w:left="990" w:header="48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76" w:rsidRDefault="005A7176">
      <w:pPr>
        <w:spacing w:after="0" w:line="240" w:lineRule="auto"/>
      </w:pPr>
      <w:r>
        <w:separator/>
      </w:r>
    </w:p>
  </w:endnote>
  <w:endnote w:type="continuationSeparator" w:id="0">
    <w:p w:rsidR="005A7176" w:rsidRDefault="005A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1D" w:rsidRDefault="00E84CD4">
    <w:pPr>
      <w:tabs>
        <w:tab w:val="center" w:pos="5101"/>
      </w:tabs>
      <w:spacing w:after="0" w:line="259" w:lineRule="auto"/>
      <w:ind w:left="0" w:right="0" w:firstLine="0"/>
    </w:pPr>
    <w:r>
      <w:rPr>
        <w:i/>
        <w:color w:val="4470C4"/>
        <w:sz w:val="20"/>
      </w:rPr>
      <w:t>VER 20190825</w:t>
    </w:r>
    <w:r>
      <w:rPr>
        <w:i/>
        <w:color w:val="4470C4"/>
        <w:sz w:val="20"/>
      </w:rPr>
      <w:tab/>
    </w:r>
    <w:r>
      <w:fldChar w:fldCharType="begin"/>
    </w:r>
    <w:r>
      <w:instrText xml:space="preserve"> PAGE   \* MERGEFORMAT </w:instrText>
    </w:r>
    <w:r>
      <w:fldChar w:fldCharType="separate"/>
    </w:r>
    <w:r>
      <w:rPr>
        <w:color w:val="4470C4"/>
      </w:rPr>
      <w:t>1</w:t>
    </w:r>
    <w:r>
      <w:rPr>
        <w:color w:val="4470C4"/>
      </w:rPr>
      <w:fldChar w:fldCharType="end"/>
    </w:r>
    <w:r>
      <w:rPr>
        <w:color w:val="4470C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1D" w:rsidRDefault="00E84CD4">
    <w:pPr>
      <w:tabs>
        <w:tab w:val="center" w:pos="5101"/>
      </w:tabs>
      <w:spacing w:after="0" w:line="259" w:lineRule="auto"/>
      <w:ind w:left="0" w:right="0" w:firstLine="0"/>
    </w:pPr>
    <w:r>
      <w:rPr>
        <w:i/>
        <w:color w:val="4470C4"/>
        <w:sz w:val="20"/>
      </w:rPr>
      <w:t>VER 20</w:t>
    </w:r>
    <w:r w:rsidR="00E351A2">
      <w:rPr>
        <w:i/>
        <w:color w:val="4470C4"/>
        <w:sz w:val="20"/>
      </w:rPr>
      <w:t>200702</w:t>
    </w:r>
    <w:r>
      <w:rPr>
        <w:i/>
        <w:color w:val="4470C4"/>
        <w:sz w:val="20"/>
      </w:rPr>
      <w:tab/>
    </w:r>
    <w:r>
      <w:fldChar w:fldCharType="begin"/>
    </w:r>
    <w:r>
      <w:instrText xml:space="preserve"> PAGE   \* MERGEFORMAT </w:instrText>
    </w:r>
    <w:r>
      <w:fldChar w:fldCharType="separate"/>
    </w:r>
    <w:r w:rsidR="00813A14" w:rsidRPr="00813A14">
      <w:rPr>
        <w:noProof/>
        <w:color w:val="4470C4"/>
      </w:rPr>
      <w:t>1</w:t>
    </w:r>
    <w:r>
      <w:rPr>
        <w:color w:val="4470C4"/>
      </w:rPr>
      <w:fldChar w:fldCharType="end"/>
    </w:r>
    <w:r>
      <w:rPr>
        <w:color w:val="4470C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1D" w:rsidRDefault="00E84CD4">
    <w:pPr>
      <w:tabs>
        <w:tab w:val="center" w:pos="5101"/>
      </w:tabs>
      <w:spacing w:after="0" w:line="259" w:lineRule="auto"/>
      <w:ind w:left="0" w:right="0" w:firstLine="0"/>
    </w:pPr>
    <w:r>
      <w:rPr>
        <w:i/>
        <w:color w:val="4470C4"/>
        <w:sz w:val="20"/>
      </w:rPr>
      <w:t>VER 20190825</w:t>
    </w:r>
    <w:r>
      <w:rPr>
        <w:i/>
        <w:color w:val="4470C4"/>
        <w:sz w:val="20"/>
      </w:rPr>
      <w:tab/>
    </w:r>
    <w:r>
      <w:fldChar w:fldCharType="begin"/>
    </w:r>
    <w:r>
      <w:instrText xml:space="preserve"> PAGE   \* MERGEFORMAT </w:instrText>
    </w:r>
    <w:r>
      <w:fldChar w:fldCharType="separate"/>
    </w:r>
    <w:r>
      <w:rPr>
        <w:color w:val="4470C4"/>
      </w:rPr>
      <w:t>1</w:t>
    </w:r>
    <w:r>
      <w:rPr>
        <w:color w:val="4470C4"/>
      </w:rPr>
      <w:fldChar w:fldCharType="end"/>
    </w:r>
    <w:r>
      <w:rPr>
        <w:color w:val="4470C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76" w:rsidRDefault="005A7176">
      <w:pPr>
        <w:spacing w:after="0" w:line="240" w:lineRule="auto"/>
      </w:pPr>
      <w:r>
        <w:separator/>
      </w:r>
    </w:p>
  </w:footnote>
  <w:footnote w:type="continuationSeparator" w:id="0">
    <w:p w:rsidR="005A7176" w:rsidRDefault="005A7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1D" w:rsidRDefault="00E84CD4">
    <w:pPr>
      <w:spacing w:after="0" w:line="240" w:lineRule="auto"/>
      <w:ind w:left="3229" w:right="3123" w:firstLine="0"/>
      <w:jc w:val="center"/>
    </w:pPr>
    <w:r>
      <w:t xml:space="preserve">Programmatic Access to  Enterprise Data Resources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1D" w:rsidRDefault="00E351A2">
    <w:pPr>
      <w:spacing w:after="0" w:line="240" w:lineRule="auto"/>
      <w:ind w:left="3229" w:right="3123" w:firstLine="0"/>
      <w:jc w:val="center"/>
    </w:pPr>
    <w:r>
      <w:t>Service Account</w:t>
    </w:r>
    <w:r w:rsidR="00E84CD4">
      <w:t xml:space="preserve"> Access to Enterprise Data Resources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1D" w:rsidRDefault="00E84CD4">
    <w:pPr>
      <w:spacing w:after="0" w:line="240" w:lineRule="auto"/>
      <w:ind w:left="3229" w:right="3123" w:firstLine="0"/>
      <w:jc w:val="center"/>
    </w:pPr>
    <w:r>
      <w:t xml:space="preserve">Programmatic Access to  Enterprise Data Resources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278F"/>
    <w:multiLevelType w:val="hybridMultilevel"/>
    <w:tmpl w:val="84B0DF52"/>
    <w:lvl w:ilvl="0" w:tplc="1004A718">
      <w:start w:val="4"/>
      <w:numFmt w:val="decimal"/>
      <w:lvlText w:val="%1."/>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46CE74">
      <w:start w:val="1"/>
      <w:numFmt w:val="lowerLetter"/>
      <w:lvlText w:val="%2"/>
      <w:lvlJc w:val="left"/>
      <w:pPr>
        <w:ind w:left="1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C8B24C">
      <w:start w:val="1"/>
      <w:numFmt w:val="lowerRoman"/>
      <w:lvlText w:val="%3"/>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4AA6A2">
      <w:start w:val="1"/>
      <w:numFmt w:val="decimal"/>
      <w:lvlText w:val="%4"/>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F2DE5A">
      <w:start w:val="1"/>
      <w:numFmt w:val="lowerLetter"/>
      <w:lvlText w:val="%5"/>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B81DCC">
      <w:start w:val="1"/>
      <w:numFmt w:val="lowerRoman"/>
      <w:lvlText w:val="%6"/>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2E6712">
      <w:start w:val="1"/>
      <w:numFmt w:val="decimal"/>
      <w:lvlText w:val="%7"/>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927802">
      <w:start w:val="1"/>
      <w:numFmt w:val="lowerLetter"/>
      <w:lvlText w:val="%8"/>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880C14">
      <w:start w:val="1"/>
      <w:numFmt w:val="lowerRoman"/>
      <w:lvlText w:val="%9"/>
      <w:lvlJc w:val="left"/>
      <w:pPr>
        <w:ind w:left="6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356023"/>
    <w:multiLevelType w:val="hybridMultilevel"/>
    <w:tmpl w:val="C6A651B0"/>
    <w:lvl w:ilvl="0" w:tplc="3D5A3284">
      <w:start w:val="1"/>
      <w:numFmt w:val="decimal"/>
      <w:lvlText w:val="%1."/>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9A163C">
      <w:start w:val="1"/>
      <w:numFmt w:val="lowerLetter"/>
      <w:lvlText w:val="%2."/>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022A52">
      <w:start w:val="1"/>
      <w:numFmt w:val="lowerRoman"/>
      <w:lvlText w:val="%3"/>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D2506C">
      <w:start w:val="1"/>
      <w:numFmt w:val="decimal"/>
      <w:lvlText w:val="%4"/>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20326C">
      <w:start w:val="1"/>
      <w:numFmt w:val="lowerLetter"/>
      <w:lvlText w:val="%5"/>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F8782E">
      <w:start w:val="1"/>
      <w:numFmt w:val="lowerRoman"/>
      <w:lvlText w:val="%6"/>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68A398">
      <w:start w:val="1"/>
      <w:numFmt w:val="decimal"/>
      <w:lvlText w:val="%7"/>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E48FCC">
      <w:start w:val="1"/>
      <w:numFmt w:val="lowerLetter"/>
      <w:lvlText w:val="%8"/>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76444E">
      <w:start w:val="1"/>
      <w:numFmt w:val="lowerRoman"/>
      <w:lvlText w:val="%9"/>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632D7D"/>
    <w:multiLevelType w:val="hybridMultilevel"/>
    <w:tmpl w:val="A9B884BC"/>
    <w:lvl w:ilvl="0" w:tplc="8E802BFE">
      <w:start w:val="1"/>
      <w:numFmt w:val="lowerLetter"/>
      <w:lvlText w:val="%1."/>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A849E4">
      <w:start w:val="1"/>
      <w:numFmt w:val="lowerLetter"/>
      <w:lvlText w:val="%2"/>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383F9E">
      <w:start w:val="1"/>
      <w:numFmt w:val="lowerRoman"/>
      <w:lvlText w:val="%3"/>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949490">
      <w:start w:val="1"/>
      <w:numFmt w:val="decimal"/>
      <w:lvlText w:val="%4"/>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1810D0">
      <w:start w:val="1"/>
      <w:numFmt w:val="lowerLetter"/>
      <w:lvlText w:val="%5"/>
      <w:lvlJc w:val="left"/>
      <w:pPr>
        <w:ind w:left="3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3AF9D6">
      <w:start w:val="1"/>
      <w:numFmt w:val="lowerRoman"/>
      <w:lvlText w:val="%6"/>
      <w:lvlJc w:val="left"/>
      <w:pPr>
        <w:ind w:left="4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10492E">
      <w:start w:val="1"/>
      <w:numFmt w:val="decimal"/>
      <w:lvlText w:val="%7"/>
      <w:lvlJc w:val="left"/>
      <w:pPr>
        <w:ind w:left="5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AAA71C">
      <w:start w:val="1"/>
      <w:numFmt w:val="lowerLetter"/>
      <w:lvlText w:val="%8"/>
      <w:lvlJc w:val="left"/>
      <w:pPr>
        <w:ind w:left="6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BE173C">
      <w:start w:val="1"/>
      <w:numFmt w:val="lowerRoman"/>
      <w:lvlText w:val="%9"/>
      <w:lvlJc w:val="left"/>
      <w:pPr>
        <w:ind w:left="6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47274E"/>
    <w:multiLevelType w:val="hybridMultilevel"/>
    <w:tmpl w:val="13D40482"/>
    <w:lvl w:ilvl="0" w:tplc="3F4EF552">
      <w:start w:val="10"/>
      <w:numFmt w:val="decimal"/>
      <w:lvlText w:val="%1."/>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44E138">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7274B2">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D01248">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341894">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EE0C9A">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7230B6">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1C60C8">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984C08">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B127BB"/>
    <w:multiLevelType w:val="multilevel"/>
    <w:tmpl w:val="B51C8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1D"/>
    <w:rsid w:val="001D3306"/>
    <w:rsid w:val="0025035F"/>
    <w:rsid w:val="002B7BEB"/>
    <w:rsid w:val="00350907"/>
    <w:rsid w:val="003C792B"/>
    <w:rsid w:val="00422C1D"/>
    <w:rsid w:val="0052309B"/>
    <w:rsid w:val="005513CA"/>
    <w:rsid w:val="005538DA"/>
    <w:rsid w:val="005A7176"/>
    <w:rsid w:val="00654C35"/>
    <w:rsid w:val="006B50C8"/>
    <w:rsid w:val="00813A14"/>
    <w:rsid w:val="008C58FE"/>
    <w:rsid w:val="00D12AD2"/>
    <w:rsid w:val="00E351A2"/>
    <w:rsid w:val="00E67C3A"/>
    <w:rsid w:val="00E8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E96C9-841A-40FE-99B8-D1D97E8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644" w:right="91"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1186" w:hanging="10"/>
      <w:outlineLvl w:val="0"/>
    </w:pPr>
    <w:rPr>
      <w:rFonts w:ascii="Calibri" w:eastAsia="Calibri" w:hAnsi="Calibri" w:cs="Calibri"/>
      <w:color w:val="4470C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470C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350907"/>
    <w:pPr>
      <w:spacing w:after="0" w:line="240" w:lineRule="auto"/>
      <w:ind w:left="0" w:right="0" w:firstLine="0"/>
    </w:pPr>
    <w:rPr>
      <w:rFonts w:ascii="Times New Roman" w:eastAsiaTheme="minorHAnsi"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Microsoft Word - Agreement Governing Programmatic Access to Enterprise Data Resources rev 20190825.docx</vt:lpstr>
    </vt:vector>
  </TitlesOfParts>
  <Company>Duke Health</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Agreement Governing Programmatic Access to Enterprise Data Resources rev 20190825.docx</dc:title>
  <dc:subject/>
  <dc:creator>sc541</dc:creator>
  <cp:keywords/>
  <cp:lastModifiedBy>William Burgon</cp:lastModifiedBy>
  <cp:revision>2</cp:revision>
  <cp:lastPrinted>2020-07-06T10:37:00Z</cp:lastPrinted>
  <dcterms:created xsi:type="dcterms:W3CDTF">2020-10-09T14:08:00Z</dcterms:created>
  <dcterms:modified xsi:type="dcterms:W3CDTF">2020-10-09T14:08:00Z</dcterms:modified>
</cp:coreProperties>
</file>